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1F972" w14:textId="0215E298" w:rsidR="00CC4A20" w:rsidRPr="000E3B9D" w:rsidRDefault="00CC4A20" w:rsidP="00CC4A20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0E3B9D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NR Ad-Hoc#2                                  </w:t>
      </w:r>
      <w:r w:rsidRPr="000E3B9D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7A37F2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bookmarkStart w:id="0" w:name="_GoBack"/>
      <w:bookmarkEnd w:id="0"/>
      <w:r w:rsidR="006024AB" w:rsidRPr="006024AB">
        <w:rPr>
          <w:rFonts w:ascii="Times New Roman" w:eastAsia="SimSun" w:hAnsi="Times New Roman"/>
          <w:b/>
          <w:sz w:val="24"/>
          <w:lang w:val="en-US" w:eastAsia="zh-CN"/>
        </w:rPr>
        <w:t>R1-1710946</w:t>
      </w:r>
    </w:p>
    <w:p w14:paraId="6A6B477A" w14:textId="77777777" w:rsidR="00CC4A20" w:rsidRPr="00AA3833" w:rsidRDefault="00CC4A20" w:rsidP="00CC4A2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0E3B9D">
        <w:rPr>
          <w:rFonts w:ascii="Times New Roman" w:eastAsia="SimSun" w:hAnsi="Times New Roman"/>
          <w:b/>
          <w:sz w:val="24"/>
          <w:lang w:val="en-US" w:eastAsia="zh-CN"/>
        </w:rPr>
        <w:t>Qingdao, P.R. China 27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th </w:t>
      </w:r>
      <w:r w:rsidRPr="000E3B9D">
        <w:rPr>
          <w:rFonts w:ascii="Times New Roman" w:eastAsia="SimSun" w:hAnsi="Times New Roman"/>
          <w:b/>
          <w:sz w:val="24"/>
          <w:lang w:val="en-US" w:eastAsia="zh-CN"/>
        </w:rPr>
        <w:t>– 30th June 2017</w:t>
      </w:r>
    </w:p>
    <w:p w14:paraId="30A214F3" w14:textId="77777777" w:rsidR="00CC4A20" w:rsidRDefault="00CC4A20" w:rsidP="00CC4A2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50A6AE5" w14:textId="5A930904" w:rsidR="00CC4A20" w:rsidRPr="00AA3833" w:rsidRDefault="00CC4A20" w:rsidP="00CC4A2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AA3833">
        <w:rPr>
          <w:rFonts w:ascii="Times New Roman" w:hAnsi="Times New Roman"/>
          <w:b/>
          <w:bCs/>
          <w:sz w:val="24"/>
          <w:lang w:val="en-US"/>
        </w:rPr>
        <w:t>Agenda Item:</w:t>
      </w:r>
      <w:r w:rsidRPr="00AA3833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5</w:t>
      </w:r>
      <w:r w:rsidRPr="00AA3833">
        <w:rPr>
          <w:rFonts w:ascii="Times New Roman" w:hAnsi="Times New Roman"/>
          <w:b/>
          <w:bCs/>
          <w:sz w:val="24"/>
          <w:lang w:val="en-US"/>
        </w:rPr>
        <w:t>.1.</w:t>
      </w:r>
      <w:r>
        <w:rPr>
          <w:rFonts w:ascii="Times New Roman" w:hAnsi="Times New Roman"/>
          <w:b/>
          <w:bCs/>
          <w:sz w:val="24"/>
          <w:lang w:val="en-US"/>
        </w:rPr>
        <w:t>3</w:t>
      </w:r>
      <w:r w:rsidRPr="00AA3833">
        <w:rPr>
          <w:rFonts w:ascii="Times New Roman" w:hAnsi="Times New Roman"/>
          <w:b/>
          <w:bCs/>
          <w:sz w:val="24"/>
          <w:lang w:val="en-US"/>
        </w:rPr>
        <w:t>.</w:t>
      </w:r>
      <w:r w:rsidR="004E4A79">
        <w:rPr>
          <w:rFonts w:ascii="Times New Roman" w:hAnsi="Times New Roman"/>
          <w:b/>
          <w:bCs/>
          <w:sz w:val="24"/>
          <w:lang w:val="en-US"/>
        </w:rPr>
        <w:t>1</w:t>
      </w:r>
      <w:r>
        <w:rPr>
          <w:rFonts w:ascii="Times New Roman" w:hAnsi="Times New Roman"/>
          <w:b/>
          <w:bCs/>
          <w:sz w:val="24"/>
          <w:lang w:val="en-US"/>
        </w:rPr>
        <w:t>.</w:t>
      </w:r>
      <w:r w:rsidR="004E4A79">
        <w:rPr>
          <w:rFonts w:ascii="Times New Roman" w:hAnsi="Times New Roman"/>
          <w:b/>
          <w:bCs/>
          <w:sz w:val="24"/>
          <w:lang w:val="en-US"/>
        </w:rPr>
        <w:t>2</w:t>
      </w:r>
      <w:r>
        <w:rPr>
          <w:rFonts w:ascii="Times New Roman" w:hAnsi="Times New Roman"/>
          <w:b/>
          <w:bCs/>
          <w:sz w:val="24"/>
          <w:lang w:val="en-US"/>
        </w:rPr>
        <w:t>.</w:t>
      </w:r>
      <w:r w:rsidR="004E4A79">
        <w:rPr>
          <w:rFonts w:ascii="Times New Roman" w:hAnsi="Times New Roman"/>
          <w:b/>
          <w:bCs/>
          <w:sz w:val="24"/>
          <w:lang w:val="en-US"/>
        </w:rPr>
        <w:t>2</w:t>
      </w:r>
    </w:p>
    <w:p w14:paraId="0BB3AB03" w14:textId="77777777" w:rsidR="00CC4A20" w:rsidRPr="00AA3833" w:rsidRDefault="00CC4A20" w:rsidP="00CC4A20">
      <w:pPr>
        <w:tabs>
          <w:tab w:val="left" w:pos="1985"/>
        </w:tabs>
        <w:rPr>
          <w:b/>
          <w:bCs/>
          <w:sz w:val="24"/>
          <w:lang w:val="en-US"/>
        </w:rPr>
      </w:pPr>
      <w:r w:rsidRPr="00AA3833">
        <w:rPr>
          <w:b/>
          <w:bCs/>
          <w:sz w:val="24"/>
          <w:lang w:val="en-US"/>
        </w:rPr>
        <w:t>Source:</w:t>
      </w:r>
      <w:r w:rsidRPr="00AA3833">
        <w:rPr>
          <w:b/>
          <w:bCs/>
          <w:sz w:val="24"/>
          <w:lang w:val="en-US"/>
        </w:rPr>
        <w:tab/>
        <w:t>InterDigital</w:t>
      </w:r>
      <w:r>
        <w:rPr>
          <w:b/>
          <w:bCs/>
          <w:sz w:val="24"/>
          <w:lang w:val="en-US"/>
        </w:rPr>
        <w:t xml:space="preserve"> Inc.</w:t>
      </w:r>
    </w:p>
    <w:p w14:paraId="4F02292E" w14:textId="5A9447AA" w:rsidR="00FA20F7" w:rsidRPr="00FF23C8" w:rsidRDefault="00FA20F7" w:rsidP="00FA20F7">
      <w:pPr>
        <w:ind w:left="1985" w:hanging="1985"/>
        <w:rPr>
          <w:b/>
          <w:bCs/>
          <w:lang w:val="en-US"/>
        </w:rPr>
      </w:pPr>
      <w:r w:rsidRPr="00FF23C8">
        <w:rPr>
          <w:b/>
          <w:bCs/>
          <w:sz w:val="24"/>
          <w:lang w:val="en-US"/>
        </w:rPr>
        <w:t>Title:</w:t>
      </w:r>
      <w:r w:rsidRPr="00FF23C8">
        <w:rPr>
          <w:b/>
          <w:bCs/>
          <w:sz w:val="24"/>
          <w:lang w:val="en-US"/>
        </w:rPr>
        <w:tab/>
      </w:r>
      <w:r w:rsidR="00DB7540">
        <w:rPr>
          <w:b/>
          <w:bCs/>
          <w:sz w:val="24"/>
          <w:lang w:val="en-US"/>
        </w:rPr>
        <w:t xml:space="preserve">Search </w:t>
      </w:r>
      <w:r w:rsidR="00FF23C8" w:rsidRPr="00FF23C8">
        <w:rPr>
          <w:b/>
          <w:bCs/>
          <w:sz w:val="24"/>
          <w:lang w:val="en-US"/>
        </w:rPr>
        <w:t>Space Design for eMBB/</w:t>
      </w:r>
      <w:r w:rsidR="00D836C2" w:rsidRPr="00FF23C8">
        <w:rPr>
          <w:b/>
          <w:bCs/>
          <w:sz w:val="24"/>
          <w:lang w:val="en-US"/>
        </w:rPr>
        <w:t>URLLC Multiplexing</w:t>
      </w:r>
    </w:p>
    <w:p w14:paraId="20F2A3ED" w14:textId="48C0346C" w:rsidR="00FA20F7" w:rsidRPr="00E621C0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E621C0">
        <w:rPr>
          <w:b/>
          <w:bCs/>
          <w:sz w:val="24"/>
          <w:lang w:val="en-US"/>
        </w:rPr>
        <w:t>Document for:</w:t>
      </w:r>
      <w:r w:rsidRPr="00E621C0">
        <w:rPr>
          <w:b/>
          <w:bCs/>
          <w:sz w:val="24"/>
          <w:lang w:val="en-US"/>
        </w:rPr>
        <w:tab/>
        <w:t>Discussion</w:t>
      </w:r>
      <w:r w:rsidR="00CD15BB" w:rsidRPr="00E621C0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FF23C8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FF23C8">
        <w:rPr>
          <w:rFonts w:ascii="Times New Roman" w:hAnsi="Times New Roman"/>
          <w:b/>
          <w:sz w:val="32"/>
          <w:szCs w:val="32"/>
        </w:rPr>
        <w:t>Introduction</w:t>
      </w:r>
    </w:p>
    <w:p w14:paraId="52342920" w14:textId="77777777" w:rsidR="00CC4A20" w:rsidRDefault="00CC4A20" w:rsidP="00CC4A20">
      <w:pPr>
        <w:rPr>
          <w:szCs w:val="22"/>
        </w:rPr>
      </w:pPr>
      <w:r w:rsidRPr="00AA3833">
        <w:rPr>
          <w:szCs w:val="22"/>
        </w:rPr>
        <w:t>In RAN1</w:t>
      </w:r>
      <w:r>
        <w:rPr>
          <w:szCs w:val="22"/>
        </w:rPr>
        <w:t>#89</w:t>
      </w:r>
      <w:r w:rsidRPr="00AA3833">
        <w:rPr>
          <w:szCs w:val="22"/>
        </w:rPr>
        <w:t xml:space="preserve"> Meeting </w:t>
      </w:r>
      <w:r w:rsidRPr="00AA3833">
        <w:rPr>
          <w:szCs w:val="22"/>
        </w:rPr>
        <w:fldChar w:fldCharType="begin"/>
      </w:r>
      <w:r w:rsidRPr="00AA3833">
        <w:rPr>
          <w:szCs w:val="22"/>
        </w:rPr>
        <w:instrText xml:space="preserve"> REF _Ref455734493 \r \h </w:instrText>
      </w:r>
      <w:r>
        <w:rPr>
          <w:szCs w:val="22"/>
        </w:rPr>
        <w:instrText xml:space="preserve"> \* MERGEFORMAT </w:instrText>
      </w:r>
      <w:r w:rsidRPr="00AA3833">
        <w:rPr>
          <w:szCs w:val="22"/>
        </w:rPr>
      </w:r>
      <w:r w:rsidRPr="00AA3833">
        <w:rPr>
          <w:szCs w:val="22"/>
        </w:rPr>
        <w:fldChar w:fldCharType="separate"/>
      </w:r>
      <w:r w:rsidRPr="00AA3833">
        <w:rPr>
          <w:szCs w:val="22"/>
        </w:rPr>
        <w:t>[1]</w:t>
      </w:r>
      <w:r w:rsidRPr="00AA3833">
        <w:rPr>
          <w:szCs w:val="22"/>
        </w:rPr>
        <w:fldChar w:fldCharType="end"/>
      </w:r>
      <w:r w:rsidRPr="00AA3833">
        <w:rPr>
          <w:szCs w:val="22"/>
        </w:rPr>
        <w:t xml:space="preserve">, </w:t>
      </w:r>
      <w:r>
        <w:rPr>
          <w:szCs w:val="22"/>
        </w:rPr>
        <w:t>the following agreements were reached for pre-emption indication:</w:t>
      </w:r>
    </w:p>
    <w:p w14:paraId="361AA01F" w14:textId="77777777" w:rsidR="00CC4A20" w:rsidRDefault="00CC4A20" w:rsidP="00CC4A20">
      <w:pPr>
        <w:rPr>
          <w:szCs w:val="22"/>
        </w:rPr>
      </w:pPr>
      <w:r w:rsidRPr="00726F08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367D8387" w14:textId="77777777" w:rsidR="00CC4A20" w:rsidRPr="00C33533" w:rsidRDefault="00CC4A20" w:rsidP="00CC4A20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33533">
        <w:rPr>
          <w:rFonts w:eastAsia="MS Mincho" w:hint="eastAsia"/>
          <w:i/>
          <w:lang w:val="en-US" w:eastAsia="ja-JP"/>
        </w:rPr>
        <w:t>For preemption indication;</w:t>
      </w:r>
    </w:p>
    <w:p w14:paraId="082BA9B6" w14:textId="77777777" w:rsidR="00CC4A20" w:rsidRPr="00C33533" w:rsidRDefault="00CC4A20" w:rsidP="00CC4A20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33533">
        <w:rPr>
          <w:rFonts w:eastAsia="MS Mincho" w:hint="eastAsia"/>
          <w:i/>
          <w:lang w:val="en-US" w:eastAsia="ja-JP"/>
        </w:rPr>
        <w:t>When configured, the indication tells the UE(s) which DL physical resources has been preempted.</w:t>
      </w:r>
    </w:p>
    <w:p w14:paraId="0E1A7287" w14:textId="77777777" w:rsidR="00CC4A20" w:rsidRPr="00C33533" w:rsidRDefault="00CC4A20" w:rsidP="00CC4A20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33533">
        <w:rPr>
          <w:rFonts w:eastAsia="MS Mincho" w:hint="eastAsia"/>
          <w:i/>
          <w:lang w:val="en-US" w:eastAsia="ja-JP"/>
        </w:rPr>
        <w:t>The preemption indication is transmitted using a PDCCH.</w:t>
      </w:r>
    </w:p>
    <w:p w14:paraId="27A85C7E" w14:textId="77777777" w:rsidR="00CC4A20" w:rsidRPr="00C33533" w:rsidRDefault="00CC4A20" w:rsidP="00CC4A20">
      <w:pPr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33533">
        <w:rPr>
          <w:rFonts w:eastAsia="MS Mincho" w:hint="eastAsia"/>
          <w:i/>
          <w:lang w:val="en-US" w:eastAsia="ja-JP"/>
        </w:rPr>
        <w:t>The preemption indication is not included in the DCI that schedules the (re)transmission of the data transmission.</w:t>
      </w:r>
    </w:p>
    <w:p w14:paraId="00F11123" w14:textId="77777777" w:rsidR="00CC4A20" w:rsidRPr="00C33533" w:rsidRDefault="00CC4A20" w:rsidP="00CC4A20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33533">
        <w:rPr>
          <w:rFonts w:eastAsia="MS Mincho" w:hint="eastAsia"/>
          <w:i/>
          <w:lang w:val="en-US" w:eastAsia="ja-JP"/>
        </w:rPr>
        <w:t>FFS: the granularity of the time and/or frequency resources.</w:t>
      </w:r>
    </w:p>
    <w:p w14:paraId="3B2B2A81" w14:textId="77777777" w:rsidR="00CC4A20" w:rsidRPr="00C33533" w:rsidRDefault="00CC4A20" w:rsidP="00CC4A20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33533">
        <w:rPr>
          <w:rFonts w:eastAsia="MS Mincho" w:hint="eastAsia"/>
          <w:i/>
          <w:lang w:val="en-US" w:eastAsia="ja-JP"/>
        </w:rPr>
        <w:t>FFS: what DCI is used.</w:t>
      </w:r>
    </w:p>
    <w:p w14:paraId="020A78F3" w14:textId="77777777" w:rsidR="00CC4A20" w:rsidRPr="00C33533" w:rsidRDefault="00CC4A20" w:rsidP="00CC4A20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33533">
        <w:rPr>
          <w:rFonts w:eastAsia="MS Mincho" w:hint="eastAsia"/>
          <w:i/>
          <w:lang w:val="en-US" w:eastAsia="ja-JP"/>
        </w:rPr>
        <w:t>FFS: timing of the preemption indication.</w:t>
      </w:r>
    </w:p>
    <w:p w14:paraId="1CCFD753" w14:textId="3D6E7967" w:rsidR="00227A7B" w:rsidRPr="005F3EE7" w:rsidRDefault="00227A7B" w:rsidP="00CC4A20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i/>
          <w:lang w:val="en-US" w:eastAsia="ja-JP"/>
        </w:rPr>
      </w:pPr>
    </w:p>
    <w:p w14:paraId="0C118BCE" w14:textId="77777777" w:rsidR="00227A7B" w:rsidRPr="00FF23C8" w:rsidRDefault="00227A7B" w:rsidP="00227A7B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03D08AD3" w14:textId="736B7546" w:rsidR="005D3508" w:rsidRDefault="00786298" w:rsidP="00DC756B">
      <w:p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FF23C8">
        <w:rPr>
          <w:rFonts w:eastAsia="MS Mincho"/>
          <w:lang w:val="en-US" w:eastAsia="ja-JP"/>
        </w:rPr>
        <w:t xml:space="preserve">In </w:t>
      </w:r>
      <w:r w:rsidR="005D3508" w:rsidRPr="00FF23C8">
        <w:rPr>
          <w:szCs w:val="22"/>
        </w:rPr>
        <w:t>this contribution, we</w:t>
      </w:r>
      <w:r w:rsidRPr="00FF23C8">
        <w:rPr>
          <w:szCs w:val="22"/>
        </w:rPr>
        <w:t xml:space="preserve"> provide our views</w:t>
      </w:r>
      <w:r w:rsidR="005D3508" w:rsidRPr="00FF23C8">
        <w:rPr>
          <w:szCs w:val="22"/>
        </w:rPr>
        <w:t xml:space="preserve"> </w:t>
      </w:r>
      <w:r w:rsidR="0088252B" w:rsidRPr="00FF23C8">
        <w:rPr>
          <w:szCs w:val="22"/>
        </w:rPr>
        <w:t xml:space="preserve">on </w:t>
      </w:r>
      <w:r w:rsidR="00227A7B" w:rsidRPr="00FF23C8">
        <w:rPr>
          <w:szCs w:val="22"/>
        </w:rPr>
        <w:t xml:space="preserve">the search space design for efficient indication for eMBB/URLLC multiplexing. </w:t>
      </w:r>
      <w:r w:rsidR="00CC4A20">
        <w:rPr>
          <w:szCs w:val="22"/>
        </w:rPr>
        <w:t>T</w:t>
      </w:r>
      <w:r w:rsidR="00CC4A20" w:rsidRPr="00CC4A20">
        <w:rPr>
          <w:szCs w:val="22"/>
        </w:rPr>
        <w:t>he signaling aspect of the pre-emption indication</w:t>
      </w:r>
      <w:r w:rsidR="00CC4A20">
        <w:rPr>
          <w:szCs w:val="22"/>
        </w:rPr>
        <w:t xml:space="preserve"> is</w:t>
      </w:r>
      <w:r w:rsidR="00566F96" w:rsidRPr="00FF23C8">
        <w:rPr>
          <w:szCs w:val="22"/>
        </w:rPr>
        <w:t xml:space="preserve"> discussed in more detail in a companion contribution </w:t>
      </w:r>
      <w:r w:rsidR="00566F96" w:rsidRPr="00FF23C8">
        <w:rPr>
          <w:szCs w:val="22"/>
        </w:rPr>
        <w:fldChar w:fldCharType="begin"/>
      </w:r>
      <w:r w:rsidR="00566F96" w:rsidRPr="00FF23C8">
        <w:rPr>
          <w:szCs w:val="22"/>
        </w:rPr>
        <w:instrText xml:space="preserve"> REF _Ref466049282 \r \h </w:instrText>
      </w:r>
      <w:r w:rsidR="00FF23C8">
        <w:rPr>
          <w:szCs w:val="22"/>
        </w:rPr>
        <w:instrText xml:space="preserve"> \* MERGEFORMAT </w:instrText>
      </w:r>
      <w:r w:rsidR="00566F96" w:rsidRPr="00FF23C8">
        <w:rPr>
          <w:szCs w:val="22"/>
        </w:rPr>
      </w:r>
      <w:r w:rsidR="00566F96" w:rsidRPr="00FF23C8">
        <w:rPr>
          <w:szCs w:val="22"/>
        </w:rPr>
        <w:fldChar w:fldCharType="separate"/>
      </w:r>
      <w:r w:rsidR="00566F96" w:rsidRPr="00FF23C8">
        <w:rPr>
          <w:szCs w:val="22"/>
        </w:rPr>
        <w:t>[</w:t>
      </w:r>
      <w:r w:rsidR="00C6301F" w:rsidRPr="00FF23C8">
        <w:rPr>
          <w:szCs w:val="22"/>
        </w:rPr>
        <w:t>2</w:t>
      </w:r>
      <w:r w:rsidR="00566F96" w:rsidRPr="00FF23C8">
        <w:rPr>
          <w:szCs w:val="22"/>
        </w:rPr>
        <w:t>]</w:t>
      </w:r>
      <w:r w:rsidR="00566F96" w:rsidRPr="00FF23C8">
        <w:rPr>
          <w:szCs w:val="22"/>
        </w:rPr>
        <w:fldChar w:fldCharType="end"/>
      </w:r>
      <w:r w:rsidR="00566F96" w:rsidRPr="00FF23C8">
        <w:rPr>
          <w:szCs w:val="22"/>
        </w:rPr>
        <w:t>.</w:t>
      </w:r>
    </w:p>
    <w:p w14:paraId="7C7EE4B4" w14:textId="77777777" w:rsidR="00DC756B" w:rsidRPr="00FF23C8" w:rsidRDefault="00DC756B" w:rsidP="00DC756B">
      <w:pPr>
        <w:overflowPunct/>
        <w:autoSpaceDE/>
        <w:autoSpaceDN/>
        <w:adjustRightInd/>
        <w:spacing w:after="0"/>
        <w:textAlignment w:val="auto"/>
        <w:rPr>
          <w:b/>
          <w:szCs w:val="22"/>
        </w:rPr>
      </w:pPr>
    </w:p>
    <w:p w14:paraId="5D787B79" w14:textId="7CF0BC36" w:rsidR="001659C7" w:rsidRPr="00FF23C8" w:rsidRDefault="001659C7" w:rsidP="00085A0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 w:rsidRPr="00FF23C8">
        <w:rPr>
          <w:rFonts w:ascii="Times New Roman" w:hAnsi="Times New Roman"/>
          <w:b/>
          <w:sz w:val="32"/>
          <w:szCs w:val="32"/>
        </w:rPr>
        <w:t>Discussion</w:t>
      </w:r>
    </w:p>
    <w:p w14:paraId="23A36C2D" w14:textId="4338E0FB" w:rsidR="00595F1F" w:rsidRPr="00FF23C8" w:rsidRDefault="003658C0" w:rsidP="00227A7B">
      <w:r w:rsidRPr="00FF23C8">
        <w:rPr>
          <w:lang w:val="en-US"/>
        </w:rPr>
        <w:t xml:space="preserve">In NR, </w:t>
      </w:r>
      <w:r w:rsidR="00595F1F" w:rsidRPr="00FF23C8">
        <w:rPr>
          <w:lang w:val="en-US"/>
        </w:rPr>
        <w:t>URLLC data may arrive at a gNB for service after downlink resource allocation has been done for an eminent eMBB transmission. Instead of letting URLLC data wait for the next sche</w:t>
      </w:r>
      <w:r w:rsidR="0091792B" w:rsidRPr="00FF23C8">
        <w:rPr>
          <w:lang w:val="en-US"/>
        </w:rPr>
        <w:t>duling time instant</w:t>
      </w:r>
      <w:r w:rsidR="00595F1F" w:rsidRPr="00FF23C8">
        <w:rPr>
          <w:lang w:val="en-US"/>
        </w:rPr>
        <w:t xml:space="preserve">, which could be as long as a time slot, the gNB may replace some of the </w:t>
      </w:r>
      <w:r w:rsidR="00C6301F" w:rsidRPr="00FF23C8">
        <w:rPr>
          <w:lang w:val="en-US"/>
        </w:rPr>
        <w:t>eMBB signals</w:t>
      </w:r>
      <w:r w:rsidR="00595F1F" w:rsidRPr="00FF23C8">
        <w:rPr>
          <w:lang w:val="en-US"/>
        </w:rPr>
        <w:t xml:space="preserve"> with UR</w:t>
      </w:r>
      <w:r w:rsidR="00C6301F" w:rsidRPr="00FF23C8">
        <w:rPr>
          <w:lang w:val="en-US"/>
        </w:rPr>
        <w:t>LLC signals</w:t>
      </w:r>
      <w:r w:rsidR="0091792B" w:rsidRPr="00FF23C8">
        <w:rPr>
          <w:lang w:val="en-US"/>
        </w:rPr>
        <w:t xml:space="preserve"> on the </w:t>
      </w:r>
      <w:r w:rsidR="007B5352" w:rsidRPr="00FF23C8">
        <w:rPr>
          <w:lang w:val="en-US"/>
        </w:rPr>
        <w:t>resources</w:t>
      </w:r>
      <w:r w:rsidR="0091792B" w:rsidRPr="00FF23C8">
        <w:rPr>
          <w:lang w:val="en-US"/>
        </w:rPr>
        <w:t xml:space="preserve"> that have been allocated for</w:t>
      </w:r>
      <w:r w:rsidR="00595F1F" w:rsidRPr="00FF23C8">
        <w:rPr>
          <w:lang w:val="en-US"/>
        </w:rPr>
        <w:t xml:space="preserve"> eMBB data, or superpose URLLC signals on some of the eMBB signals. </w:t>
      </w:r>
    </w:p>
    <w:p w14:paraId="3AF70C67" w14:textId="77777777" w:rsidR="00DC756B" w:rsidRDefault="00227A7B" w:rsidP="00227A7B">
      <w:r w:rsidRPr="00FF23C8">
        <w:t>To optimize the performance of the eMBB U</w:t>
      </w:r>
      <w:r w:rsidR="0091792B" w:rsidRPr="00FF23C8">
        <w:t>E, indication</w:t>
      </w:r>
      <w:r w:rsidR="00A87CD9" w:rsidRPr="00FF23C8">
        <w:t xml:space="preserve"> about preemptive </w:t>
      </w:r>
      <w:r w:rsidRPr="00FF23C8">
        <w:t>multi</w:t>
      </w:r>
      <w:r w:rsidR="0091792B" w:rsidRPr="00FF23C8">
        <w:t xml:space="preserve">plexing of URLLC and </w:t>
      </w:r>
      <w:r w:rsidR="00595F1F" w:rsidRPr="00FF23C8">
        <w:t>eMBB need</w:t>
      </w:r>
      <w:r w:rsidR="00872E2A">
        <w:t>s</w:t>
      </w:r>
      <w:r w:rsidRPr="00FF23C8">
        <w:t xml:space="preserve"> to be sent to the e</w:t>
      </w:r>
      <w:r w:rsidR="00595F1F" w:rsidRPr="00FF23C8">
        <w:t>MBB UE. If the eMBB UE does per-</w:t>
      </w:r>
      <w:r w:rsidRPr="00FF23C8">
        <w:t>slot</w:t>
      </w:r>
      <w:r w:rsidR="00C6301F" w:rsidRPr="00FF23C8">
        <w:t xml:space="preserve"> </w:t>
      </w:r>
      <w:r w:rsidR="00C51052">
        <w:t>NR-PDCCH</w:t>
      </w:r>
      <w:r w:rsidR="00C51052" w:rsidRPr="00FF23C8">
        <w:t xml:space="preserve"> </w:t>
      </w:r>
      <w:r w:rsidR="00C6301F" w:rsidRPr="00FF23C8">
        <w:t xml:space="preserve">monitoring, the </w:t>
      </w:r>
      <w:proofErr w:type="spellStart"/>
      <w:r w:rsidR="00A87CD9" w:rsidRPr="00FF23C8">
        <w:t>preemptive</w:t>
      </w:r>
      <w:proofErr w:type="spellEnd"/>
      <w:r w:rsidR="00A87CD9" w:rsidRPr="00FF23C8">
        <w:t xml:space="preserve"> multiplexing indication</w:t>
      </w:r>
      <w:r w:rsidRPr="00FF23C8">
        <w:t xml:space="preserve"> may be sent in the </w:t>
      </w:r>
      <w:r w:rsidR="00C51052">
        <w:t>NR-PDCCH</w:t>
      </w:r>
      <w:r w:rsidR="00C51052" w:rsidRPr="00FF23C8">
        <w:t xml:space="preserve"> </w:t>
      </w:r>
      <w:r w:rsidRPr="00FF23C8">
        <w:t>of the next time slot. An exam</w:t>
      </w:r>
      <w:r w:rsidR="00082F4D">
        <w:t xml:space="preserve">ple is shown in </w:t>
      </w:r>
      <w:r w:rsidR="00082F4D">
        <w:fldChar w:fldCharType="begin"/>
      </w:r>
      <w:r w:rsidR="00082F4D">
        <w:instrText xml:space="preserve"> REF _Ref478126757 \h </w:instrText>
      </w:r>
      <w:r w:rsidR="00082F4D">
        <w:fldChar w:fldCharType="separate"/>
      </w:r>
      <w:r w:rsidR="00082F4D">
        <w:t xml:space="preserve">Figure </w:t>
      </w:r>
      <w:r w:rsidR="00082F4D">
        <w:rPr>
          <w:noProof/>
        </w:rPr>
        <w:t>1</w:t>
      </w:r>
      <w:r w:rsidR="00082F4D">
        <w:fldChar w:fldCharType="end"/>
      </w:r>
      <w:r w:rsidR="00C51052">
        <w:t xml:space="preserve">, where the NR-PDCCH in the </w:t>
      </w:r>
      <w:r w:rsidR="00C01375">
        <w:t>next</w:t>
      </w:r>
      <w:r w:rsidR="00C51052">
        <w:t xml:space="preserve"> time slot (slot n+1) carries the preemptive multiplexing indication for the </w:t>
      </w:r>
      <w:r w:rsidR="00C01375">
        <w:t xml:space="preserve">current </w:t>
      </w:r>
      <w:r w:rsidR="00C51052">
        <w:t xml:space="preserve">time slot (slot n) and DCI for the </w:t>
      </w:r>
      <w:r w:rsidR="00C01375">
        <w:t xml:space="preserve">next </w:t>
      </w:r>
      <w:r w:rsidR="00C51052">
        <w:t>time slot (slot n+1)</w:t>
      </w:r>
      <w:r w:rsidR="00DC756B">
        <w:t>.</w:t>
      </w:r>
    </w:p>
    <w:p w14:paraId="72E7EE1A" w14:textId="77777777" w:rsidR="00DC756B" w:rsidRDefault="00DC756B" w:rsidP="00DC756B">
      <w:r w:rsidRPr="00FF23C8">
        <w:t xml:space="preserve">In LTE there are two search spaces for PDCCH candidates: a common search space and a UE-specific search space. In NR, </w:t>
      </w:r>
      <w:r>
        <w:t>it is desirable to define an additional</w:t>
      </w:r>
      <w:r w:rsidRPr="00FF23C8">
        <w:t xml:space="preserve"> search space </w:t>
      </w:r>
      <w:r>
        <w:t>dedicated to those slots that are configured for</w:t>
      </w:r>
      <w:r w:rsidRPr="00FF23C8">
        <w:t xml:space="preserve"> </w:t>
      </w:r>
      <w:proofErr w:type="spellStart"/>
      <w:r>
        <w:t>preemptive</w:t>
      </w:r>
      <w:proofErr w:type="spellEnd"/>
      <w:r>
        <w:t xml:space="preserve"> </w:t>
      </w:r>
      <w:r w:rsidRPr="00FF23C8">
        <w:t>URLLC and eMBB multiplexing</w:t>
      </w:r>
      <w:r>
        <w:t xml:space="preserve">. Introducing a dedicated search space </w:t>
      </w:r>
      <w:r w:rsidRPr="00EF6503">
        <w:t xml:space="preserve">for </w:t>
      </w:r>
      <w:proofErr w:type="spellStart"/>
      <w:r>
        <w:t>preemptive</w:t>
      </w:r>
      <w:proofErr w:type="spellEnd"/>
      <w:r>
        <w:t xml:space="preserve"> </w:t>
      </w:r>
      <w:r w:rsidRPr="00EF6503">
        <w:t xml:space="preserve">URLLC and eMBB multiplexing </w:t>
      </w:r>
      <w:r>
        <w:t xml:space="preserve">allows the eMBB UE to first perform blind detection on those PDCCH candidates that indicate </w:t>
      </w:r>
      <w:r w:rsidRPr="00EF6503">
        <w:t xml:space="preserve">assigned downlink resources have partially been </w:t>
      </w:r>
      <w:proofErr w:type="spellStart"/>
      <w:r w:rsidRPr="00EF6503">
        <w:t>preempted</w:t>
      </w:r>
      <w:proofErr w:type="spellEnd"/>
      <w:r w:rsidRPr="00EF6503">
        <w:t xml:space="preserve"> by another downlink transmission</w:t>
      </w:r>
      <w:r>
        <w:t xml:space="preserve"> in the previous slot. To lower the blind decoding attempts, </w:t>
      </w:r>
      <w:r w:rsidRPr="00EF6503">
        <w:t>if an eMBB UE successful</w:t>
      </w:r>
      <w:r>
        <w:t>ly demodulates and decodes</w:t>
      </w:r>
      <w:r w:rsidRPr="00EF6503">
        <w:t xml:space="preserve"> the transport block </w:t>
      </w:r>
      <w:r>
        <w:t>without the knowledge of</w:t>
      </w:r>
      <w:r w:rsidRPr="00EF6503">
        <w:t xml:space="preserve"> the </w:t>
      </w:r>
      <w:proofErr w:type="spellStart"/>
      <w:r w:rsidRPr="00EF6503">
        <w:t>preempted</w:t>
      </w:r>
      <w:proofErr w:type="spellEnd"/>
      <w:r w:rsidRPr="00EF6503">
        <w:t xml:space="preserve"> transmission</w:t>
      </w:r>
      <w:r>
        <w:t>, the UE can entirely bypass this dedicated search space.</w:t>
      </w:r>
    </w:p>
    <w:p w14:paraId="212749C0" w14:textId="07E6C3ED" w:rsidR="00227A7B" w:rsidRPr="00FF23C8" w:rsidRDefault="00C51052" w:rsidP="00227A7B">
      <w:r>
        <w:t xml:space="preserve"> </w:t>
      </w:r>
      <w:r w:rsidR="00227A7B" w:rsidRPr="00FF23C8">
        <w:t xml:space="preserve">   </w:t>
      </w:r>
    </w:p>
    <w:p w14:paraId="7B36393B" w14:textId="270008FC" w:rsidR="005F3EE7" w:rsidRDefault="00C51052" w:rsidP="005F3EE7">
      <w:pPr>
        <w:keepNext/>
        <w:jc w:val="center"/>
      </w:pPr>
      <w:r>
        <w:object w:dxaOrig="3759" w:dyaOrig="2596" w14:anchorId="462433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6pt;height:130.15pt" o:ole="">
            <v:imagedata r:id="rId12" o:title=""/>
          </v:shape>
          <o:OLEObject Type="Embed" ProgID="Visio.Drawing.15" ShapeID="_x0000_i1025" DrawAspect="Content" ObjectID="_1559117212" r:id="rId13"/>
        </w:object>
      </w:r>
    </w:p>
    <w:p w14:paraId="7B45056A" w14:textId="6A057F07" w:rsidR="00227A7B" w:rsidRPr="00FF23C8" w:rsidRDefault="005F3EE7" w:rsidP="005F3EE7">
      <w:pPr>
        <w:pStyle w:val="Caption"/>
      </w:pPr>
      <w:bookmarkStart w:id="1" w:name="_Ref4781267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Pr="005F3EE7">
        <w:t xml:space="preserve">Indication of URLLC transmission overlapping the resources scheduled for an eMBB UE in the </w:t>
      </w:r>
      <w:r w:rsidR="00EE6BD0">
        <w:t>DCI</w:t>
      </w:r>
      <w:r w:rsidR="00C01375" w:rsidRPr="005F3EE7">
        <w:t xml:space="preserve"> </w:t>
      </w:r>
      <w:r w:rsidRPr="005F3EE7">
        <w:t>of the next time slot.</w:t>
      </w:r>
    </w:p>
    <w:p w14:paraId="21C3A6BD" w14:textId="2B35F5B4" w:rsidR="00EF6503" w:rsidRDefault="008E6201" w:rsidP="001734F5">
      <w:r>
        <w:t>However, i</w:t>
      </w:r>
      <w:r w:rsidRPr="00FF23C8">
        <w:t xml:space="preserve">f an eMBB UE fails to decode </w:t>
      </w:r>
      <w:r w:rsidRPr="008E6201">
        <w:t xml:space="preserve">the transport block </w:t>
      </w:r>
      <w:r w:rsidRPr="00FF23C8">
        <w:t xml:space="preserve">in </w:t>
      </w:r>
      <w:r w:rsidR="006C1E10">
        <w:t xml:space="preserve">the current </w:t>
      </w:r>
      <w:r w:rsidRPr="00FF23C8">
        <w:t xml:space="preserve">time slot, </w:t>
      </w:r>
      <w:r>
        <w:t xml:space="preserve">then it </w:t>
      </w:r>
      <w:r w:rsidR="00E753DC">
        <w:t>should</w:t>
      </w:r>
      <w:r w:rsidR="00E753DC" w:rsidRPr="00FF23C8">
        <w:t xml:space="preserve"> </w:t>
      </w:r>
      <w:r w:rsidRPr="00FF23C8">
        <w:t xml:space="preserve">search </w:t>
      </w:r>
      <w:r>
        <w:t xml:space="preserve">the </w:t>
      </w:r>
      <w:r w:rsidRPr="008E6201">
        <w:t xml:space="preserve">dedicated search space </w:t>
      </w:r>
      <w:r w:rsidR="006C1E10">
        <w:t xml:space="preserve">in the current time slot that indicates </w:t>
      </w:r>
      <w:proofErr w:type="spellStart"/>
      <w:r w:rsidR="006C1E10">
        <w:t>preemptive</w:t>
      </w:r>
      <w:proofErr w:type="spellEnd"/>
      <w:r w:rsidR="006C1E10">
        <w:t xml:space="preserve"> </w:t>
      </w:r>
      <w:r w:rsidRPr="008E6201">
        <w:t xml:space="preserve">URLLC and eMBB multiplexing </w:t>
      </w:r>
      <w:r w:rsidRPr="00FF23C8">
        <w:t xml:space="preserve">in </w:t>
      </w:r>
      <w:r w:rsidR="006C1E10">
        <w:t xml:space="preserve">the previous </w:t>
      </w:r>
      <w:r w:rsidRPr="00FF23C8">
        <w:t xml:space="preserve">time slot. </w:t>
      </w:r>
      <w:r>
        <w:t>Upon successful detection and decoding of the indication</w:t>
      </w:r>
      <w:r w:rsidRPr="00FF23C8">
        <w:t xml:space="preserve">, the eMBB UE may </w:t>
      </w:r>
      <w:r>
        <w:t xml:space="preserve">use the indication </w:t>
      </w:r>
      <w:r w:rsidRPr="008E6201">
        <w:t>to increase the likelihood of successful demodulation and decoding of the transport block based on the preempted transmission and/or subsequent (re)-transmissions of the same TB</w:t>
      </w:r>
      <w:r>
        <w:t xml:space="preserve"> (e.g.,</w:t>
      </w:r>
      <w:r w:rsidRPr="00FF23C8">
        <w:t xml:space="preserve"> by taking out the punctured soft bits on the affected eMBB resources, or performing demodulation with superposition</w:t>
      </w:r>
      <w:r>
        <w:t>)</w:t>
      </w:r>
      <w:r w:rsidR="00B75486">
        <w:t>.</w:t>
      </w:r>
    </w:p>
    <w:p w14:paraId="7DA0358B" w14:textId="2884BBFE" w:rsidR="008E6201" w:rsidRDefault="008E6201" w:rsidP="001734F5">
      <w:r>
        <w:t xml:space="preserve">The new search space </w:t>
      </w:r>
      <w:r w:rsidR="00E753DC">
        <w:t xml:space="preserve">size </w:t>
      </w:r>
      <w:r>
        <w:t xml:space="preserve">should be </w:t>
      </w:r>
      <w:r w:rsidR="00E753DC">
        <w:t>chosen</w:t>
      </w:r>
      <w:r w:rsidRPr="008E6201">
        <w:t xml:space="preserve"> such that the p</w:t>
      </w:r>
      <w:r>
        <w:t>robabil</w:t>
      </w:r>
      <w:r w:rsidRPr="008E6201">
        <w:t xml:space="preserve">ity of blocking is minimized. In other words, there should be enough NR-PDCCH candidates in </w:t>
      </w:r>
      <w:r w:rsidR="00E753DC">
        <w:t>the dedicated</w:t>
      </w:r>
      <w:r w:rsidRPr="008E6201">
        <w:t xml:space="preserve"> search space such that the UE can always find the NR-PDCCH corresponding to the overlapping URLLC/eMBB resources</w:t>
      </w:r>
      <w:r w:rsidR="00E753DC">
        <w:t>,</w:t>
      </w:r>
      <w:r w:rsidRPr="008E6201">
        <w:t xml:space="preserve"> whether or not the UE has managed to detect and decode the </w:t>
      </w:r>
      <w:r>
        <w:t>transport block</w:t>
      </w:r>
      <w:r w:rsidRPr="008E6201">
        <w:t xml:space="preserve"> </w:t>
      </w:r>
      <w:r w:rsidR="00E753DC" w:rsidRPr="008E6201">
        <w:t xml:space="preserve">successfully </w:t>
      </w:r>
      <w:r w:rsidRPr="008E6201">
        <w:t>in the previous slot.</w:t>
      </w:r>
    </w:p>
    <w:p w14:paraId="468B410E" w14:textId="0A4682FC" w:rsidR="00EB25AA" w:rsidRPr="00FF23C8" w:rsidRDefault="008E6201" w:rsidP="001734F5">
      <w:r>
        <w:t xml:space="preserve">One way to efficiently lower the blocking probability is to design the search space such that it overlaps with the common search space. Under this scenario, the under-utilized </w:t>
      </w:r>
      <w:r w:rsidR="00B75486">
        <w:t>NR-</w:t>
      </w:r>
      <w:r>
        <w:t xml:space="preserve">PDCCH candidates </w:t>
      </w:r>
      <w:r w:rsidR="00B75486">
        <w:t xml:space="preserve">in the common search space </w:t>
      </w:r>
      <w:r>
        <w:t xml:space="preserve">can be used for </w:t>
      </w:r>
      <w:r w:rsidR="00B75486">
        <w:t xml:space="preserve">the </w:t>
      </w:r>
      <w:r>
        <w:t>i</w:t>
      </w:r>
      <w:r w:rsidRPr="008E6201">
        <w:t>ndication of URLLC transmission overlapping the resources scheduled for an eMBB UE</w:t>
      </w:r>
      <w:r>
        <w:t>.</w:t>
      </w:r>
      <w:r w:rsidR="00B75486">
        <w:t xml:space="preserve"> In this case, the UE may check the CRC against multiple </w:t>
      </w:r>
      <w:r w:rsidR="00EB25AA" w:rsidRPr="00FF23C8">
        <w:t>RNTI</w:t>
      </w:r>
      <w:r w:rsidR="00B75486">
        <w:t xml:space="preserve">s </w:t>
      </w:r>
      <w:r w:rsidR="00EB25AA" w:rsidRPr="00FF23C8">
        <w:t xml:space="preserve">associated with </w:t>
      </w:r>
      <w:r w:rsidR="00B75486">
        <w:t>different DCI formats similar to LTE</w:t>
      </w:r>
      <w:r w:rsidR="00EB25AA" w:rsidRPr="00FF23C8">
        <w:t xml:space="preserve">. </w:t>
      </w:r>
    </w:p>
    <w:p w14:paraId="62016746" w14:textId="368B77FB" w:rsidR="00EB25AA" w:rsidRPr="00FF23C8" w:rsidRDefault="00EB25AA" w:rsidP="00B75486">
      <w:pPr>
        <w:keepNext/>
      </w:pPr>
      <w:r w:rsidRPr="00FF23C8">
        <w:rPr>
          <w:b/>
          <w:i/>
          <w:szCs w:val="22"/>
          <w:u w:val="single"/>
          <w:lang w:eastAsia="sv-SE"/>
        </w:rPr>
        <w:t>Proposal 1:</w:t>
      </w:r>
      <w:r w:rsidRPr="00FF23C8">
        <w:rPr>
          <w:b/>
          <w:szCs w:val="22"/>
          <w:lang w:eastAsia="sv-SE"/>
        </w:rPr>
        <w:t xml:space="preserve"> </w:t>
      </w:r>
      <w:r w:rsidRPr="00FF23C8">
        <w:rPr>
          <w:i/>
          <w:szCs w:val="22"/>
          <w:lang w:eastAsia="sv-SE"/>
        </w:rPr>
        <w:t xml:space="preserve">Consider introducing a new search space to dynamically </w:t>
      </w:r>
      <w:r w:rsidR="00B75486">
        <w:rPr>
          <w:i/>
          <w:szCs w:val="22"/>
          <w:lang w:eastAsia="sv-SE"/>
        </w:rPr>
        <w:t xml:space="preserve">indicate </w:t>
      </w:r>
      <w:r w:rsidR="00B75486" w:rsidRPr="00B75486">
        <w:rPr>
          <w:i/>
          <w:szCs w:val="22"/>
          <w:lang w:eastAsia="sv-SE"/>
        </w:rPr>
        <w:t>URLLC transmission overlapping the resources scheduled for an eMBB UE</w:t>
      </w:r>
      <w:r w:rsidR="00B75486">
        <w:rPr>
          <w:i/>
          <w:szCs w:val="22"/>
          <w:lang w:eastAsia="sv-SE"/>
        </w:rPr>
        <w:t>.</w:t>
      </w:r>
    </w:p>
    <w:p w14:paraId="798D8BCF" w14:textId="44E45E4D" w:rsidR="00B764D3" w:rsidRPr="00FF23C8" w:rsidRDefault="00B764D3" w:rsidP="00B71631">
      <w:pPr>
        <w:keepNext/>
      </w:pPr>
      <w:r w:rsidRPr="00FF23C8">
        <w:rPr>
          <w:b/>
          <w:i/>
          <w:szCs w:val="22"/>
          <w:u w:val="single"/>
          <w:lang w:eastAsia="sv-SE"/>
        </w:rPr>
        <w:t xml:space="preserve">Proposal </w:t>
      </w:r>
      <w:r w:rsidR="00A67A90" w:rsidRPr="00FF23C8">
        <w:rPr>
          <w:b/>
          <w:i/>
          <w:szCs w:val="22"/>
          <w:u w:val="single"/>
          <w:lang w:eastAsia="sv-SE"/>
        </w:rPr>
        <w:t>2</w:t>
      </w:r>
      <w:r w:rsidRPr="00FF23C8">
        <w:rPr>
          <w:b/>
          <w:i/>
          <w:szCs w:val="22"/>
          <w:u w:val="single"/>
          <w:lang w:eastAsia="sv-SE"/>
        </w:rPr>
        <w:t>:</w:t>
      </w:r>
      <w:r w:rsidRPr="00FF23C8">
        <w:rPr>
          <w:b/>
          <w:szCs w:val="22"/>
          <w:lang w:eastAsia="sv-SE"/>
        </w:rPr>
        <w:t xml:space="preserve"> </w:t>
      </w:r>
      <w:r w:rsidRPr="00FF23C8">
        <w:rPr>
          <w:i/>
          <w:szCs w:val="22"/>
          <w:lang w:eastAsia="sv-SE"/>
        </w:rPr>
        <w:t xml:space="preserve">Consider </w:t>
      </w:r>
      <w:r w:rsidR="00A67A90" w:rsidRPr="00FF23C8">
        <w:rPr>
          <w:i/>
          <w:szCs w:val="22"/>
          <w:lang w:eastAsia="sv-SE"/>
        </w:rPr>
        <w:t xml:space="preserve">allowing the newly introduced search space in Proposal 1 to </w:t>
      </w:r>
      <w:r w:rsidR="00FC5174">
        <w:rPr>
          <w:i/>
          <w:szCs w:val="22"/>
          <w:lang w:eastAsia="sv-SE"/>
        </w:rPr>
        <w:t xml:space="preserve">be </w:t>
      </w:r>
      <w:r w:rsidR="00A67A90" w:rsidRPr="00FF23C8">
        <w:rPr>
          <w:i/>
          <w:szCs w:val="22"/>
          <w:lang w:eastAsia="sv-SE"/>
        </w:rPr>
        <w:t>overlap</w:t>
      </w:r>
      <w:r w:rsidR="00FC5174">
        <w:rPr>
          <w:i/>
          <w:szCs w:val="22"/>
          <w:lang w:eastAsia="sv-SE"/>
        </w:rPr>
        <w:t>ped</w:t>
      </w:r>
      <w:r w:rsidR="00A67A90" w:rsidRPr="00FF23C8">
        <w:rPr>
          <w:i/>
          <w:szCs w:val="22"/>
          <w:lang w:eastAsia="sv-SE"/>
        </w:rPr>
        <w:t xml:space="preserve"> </w:t>
      </w:r>
      <w:r w:rsidR="00FC5174">
        <w:rPr>
          <w:i/>
          <w:szCs w:val="22"/>
          <w:lang w:eastAsia="sv-SE"/>
        </w:rPr>
        <w:t xml:space="preserve">with </w:t>
      </w:r>
      <w:r w:rsidR="00A67A90" w:rsidRPr="00FF23C8">
        <w:rPr>
          <w:i/>
          <w:szCs w:val="22"/>
          <w:lang w:eastAsia="sv-SE"/>
        </w:rPr>
        <w:t xml:space="preserve">the common search space to reduce the blocking probability. </w:t>
      </w:r>
    </w:p>
    <w:p w14:paraId="596E93DF" w14:textId="4893F5BD" w:rsidR="00821C42" w:rsidRPr="00FF23C8" w:rsidRDefault="00BF17FD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FF23C8">
        <w:rPr>
          <w:rFonts w:ascii="Times New Roman" w:hAnsi="Times New Roman"/>
          <w:b/>
          <w:sz w:val="32"/>
          <w:lang w:val="en-US"/>
        </w:rPr>
        <w:t>Summary</w:t>
      </w:r>
    </w:p>
    <w:p w14:paraId="47D2CDE8" w14:textId="07B11A0E" w:rsidR="000001DC" w:rsidRDefault="000001DC" w:rsidP="00A67A90">
      <w:pPr>
        <w:keepNext/>
        <w:rPr>
          <w:szCs w:val="22"/>
        </w:rPr>
      </w:pPr>
      <w:r w:rsidRPr="000001DC">
        <w:rPr>
          <w:szCs w:val="22"/>
        </w:rPr>
        <w:t xml:space="preserve">In this contribution, we provided our views on the search space design for </w:t>
      </w:r>
      <w:r w:rsidRPr="000001DC">
        <w:rPr>
          <w:rFonts w:eastAsia="MS Mincho"/>
          <w:lang w:val="en-US" w:eastAsia="ja-JP"/>
        </w:rPr>
        <w:t xml:space="preserve">URLLC transmission overlapping the resources scheduled for an eMBB UE in </w:t>
      </w:r>
      <w:r w:rsidR="00D812A0">
        <w:rPr>
          <w:rFonts w:eastAsia="MS Mincho"/>
          <w:lang w:val="en-US" w:eastAsia="ja-JP"/>
        </w:rPr>
        <w:t xml:space="preserve">the </w:t>
      </w:r>
      <w:r w:rsidRPr="000001DC">
        <w:rPr>
          <w:rFonts w:eastAsia="MS Mincho"/>
          <w:lang w:val="en-US" w:eastAsia="ja-JP"/>
        </w:rPr>
        <w:t>downlink</w:t>
      </w:r>
      <w:r w:rsidRPr="000001DC">
        <w:rPr>
          <w:szCs w:val="22"/>
        </w:rPr>
        <w:t xml:space="preserve">. </w:t>
      </w:r>
      <w:r>
        <w:rPr>
          <w:szCs w:val="22"/>
        </w:rPr>
        <w:t>We are making the following proposals:</w:t>
      </w:r>
    </w:p>
    <w:p w14:paraId="7EFA6EB1" w14:textId="77777777" w:rsidR="0020443A" w:rsidRPr="00FF23C8" w:rsidRDefault="0020443A" w:rsidP="0020443A">
      <w:pPr>
        <w:keepNext/>
      </w:pPr>
      <w:r w:rsidRPr="00FF23C8">
        <w:rPr>
          <w:b/>
          <w:i/>
          <w:szCs w:val="22"/>
          <w:u w:val="single"/>
          <w:lang w:eastAsia="sv-SE"/>
        </w:rPr>
        <w:t>Proposal 1:</w:t>
      </w:r>
      <w:r w:rsidRPr="00FF23C8">
        <w:rPr>
          <w:b/>
          <w:szCs w:val="22"/>
          <w:lang w:eastAsia="sv-SE"/>
        </w:rPr>
        <w:t xml:space="preserve"> </w:t>
      </w:r>
      <w:r w:rsidRPr="00FF23C8">
        <w:rPr>
          <w:i/>
          <w:szCs w:val="22"/>
          <w:lang w:eastAsia="sv-SE"/>
        </w:rPr>
        <w:t xml:space="preserve">Consider introducing a new search space to dynamically </w:t>
      </w:r>
      <w:r>
        <w:rPr>
          <w:i/>
          <w:szCs w:val="22"/>
          <w:lang w:eastAsia="sv-SE"/>
        </w:rPr>
        <w:t xml:space="preserve">indicate </w:t>
      </w:r>
      <w:r w:rsidRPr="00B75486">
        <w:rPr>
          <w:i/>
          <w:szCs w:val="22"/>
          <w:lang w:eastAsia="sv-SE"/>
        </w:rPr>
        <w:t>URLLC transmission overlapping the resources scheduled for an eMBB UE</w:t>
      </w:r>
      <w:r>
        <w:rPr>
          <w:i/>
          <w:szCs w:val="22"/>
          <w:lang w:eastAsia="sv-SE"/>
        </w:rPr>
        <w:t>.</w:t>
      </w:r>
    </w:p>
    <w:p w14:paraId="6875704A" w14:textId="77777777" w:rsidR="0020443A" w:rsidRPr="00FF23C8" w:rsidRDefault="0020443A" w:rsidP="0020443A">
      <w:pPr>
        <w:keepNext/>
      </w:pPr>
      <w:r w:rsidRPr="00FF23C8">
        <w:rPr>
          <w:b/>
          <w:i/>
          <w:szCs w:val="22"/>
          <w:u w:val="single"/>
          <w:lang w:eastAsia="sv-SE"/>
        </w:rPr>
        <w:t>Proposal 2:</w:t>
      </w:r>
      <w:r w:rsidRPr="00FF23C8">
        <w:rPr>
          <w:b/>
          <w:szCs w:val="22"/>
          <w:lang w:eastAsia="sv-SE"/>
        </w:rPr>
        <w:t xml:space="preserve"> </w:t>
      </w:r>
      <w:r w:rsidRPr="00FF23C8">
        <w:rPr>
          <w:i/>
          <w:szCs w:val="22"/>
          <w:lang w:eastAsia="sv-SE"/>
        </w:rPr>
        <w:t xml:space="preserve">Consider allowing the newly introduced search space in Proposal 1 to </w:t>
      </w:r>
      <w:r>
        <w:rPr>
          <w:i/>
          <w:szCs w:val="22"/>
          <w:lang w:eastAsia="sv-SE"/>
        </w:rPr>
        <w:t xml:space="preserve">be </w:t>
      </w:r>
      <w:r w:rsidRPr="00FF23C8">
        <w:rPr>
          <w:i/>
          <w:szCs w:val="22"/>
          <w:lang w:eastAsia="sv-SE"/>
        </w:rPr>
        <w:t>overlap</w:t>
      </w:r>
      <w:r>
        <w:rPr>
          <w:i/>
          <w:szCs w:val="22"/>
          <w:lang w:eastAsia="sv-SE"/>
        </w:rPr>
        <w:t>ped</w:t>
      </w:r>
      <w:r w:rsidRPr="00FF23C8">
        <w:rPr>
          <w:i/>
          <w:szCs w:val="22"/>
          <w:lang w:eastAsia="sv-SE"/>
        </w:rPr>
        <w:t xml:space="preserve"> </w:t>
      </w:r>
      <w:r>
        <w:rPr>
          <w:i/>
          <w:szCs w:val="22"/>
          <w:lang w:eastAsia="sv-SE"/>
        </w:rPr>
        <w:t xml:space="preserve">with </w:t>
      </w:r>
      <w:r w:rsidRPr="00FF23C8">
        <w:rPr>
          <w:i/>
          <w:szCs w:val="22"/>
          <w:lang w:eastAsia="sv-SE"/>
        </w:rPr>
        <w:t xml:space="preserve">the common search space to reduce the blocking probability. </w:t>
      </w:r>
    </w:p>
    <w:p w14:paraId="6B0F3CC4" w14:textId="77777777" w:rsidR="00DD0316" w:rsidRPr="00FF23C8" w:rsidRDefault="00DD0316" w:rsidP="007C28B9">
      <w:pPr>
        <w:rPr>
          <w:b/>
          <w:i/>
          <w:szCs w:val="22"/>
          <w:lang w:eastAsia="sv-SE"/>
        </w:rPr>
      </w:pPr>
    </w:p>
    <w:p w14:paraId="0EF7466D" w14:textId="77777777" w:rsidR="00251B4A" w:rsidRPr="00FF23C8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FF23C8">
        <w:rPr>
          <w:rFonts w:ascii="Times New Roman" w:hAnsi="Times New Roman"/>
          <w:b/>
          <w:sz w:val="32"/>
          <w:lang w:val="en-US"/>
        </w:rPr>
        <w:t>References</w:t>
      </w:r>
    </w:p>
    <w:p w14:paraId="636B8CAF" w14:textId="3D151C44" w:rsidR="00CC4A20" w:rsidRPr="00CC4A20" w:rsidRDefault="000A284D" w:rsidP="00CC4A20">
      <w:pPr>
        <w:pStyle w:val="Reference"/>
        <w:rPr>
          <w:szCs w:val="22"/>
        </w:rPr>
      </w:pPr>
      <w:r>
        <w:rPr>
          <w:szCs w:val="22"/>
        </w:rPr>
        <w:t>RAN1#</w:t>
      </w:r>
      <w:r w:rsidR="00CC4A20" w:rsidRPr="00CC4A20">
        <w:rPr>
          <w:szCs w:val="22"/>
        </w:rPr>
        <w:t>89 Chairman’s Notes, Hangzhou, P.R. China 15th – 19th May 2017</w:t>
      </w:r>
    </w:p>
    <w:p w14:paraId="269C5DFE" w14:textId="3B4025AF" w:rsidR="00D66035" w:rsidRPr="00AA3833" w:rsidRDefault="00E3767A" w:rsidP="00E3767A">
      <w:pPr>
        <w:pStyle w:val="Reference"/>
      </w:pPr>
      <w:r w:rsidRPr="00E3767A">
        <w:t>R1-1710955</w:t>
      </w:r>
      <w:r w:rsidR="00EC539D" w:rsidRPr="00FF23C8">
        <w:t>, “</w:t>
      </w:r>
      <w:r w:rsidR="00D66035" w:rsidRPr="00D66035">
        <w:t>Signaling design considerations for DL pre-emption indication</w:t>
      </w:r>
      <w:r w:rsidR="00D66035">
        <w:t xml:space="preserve">”, InterDigital, </w:t>
      </w:r>
      <w:r w:rsidR="00D66035" w:rsidRPr="00FA1336">
        <w:t>NR Ad-Hoc#2</w:t>
      </w:r>
      <w:r w:rsidR="00D66035">
        <w:t xml:space="preserve">, </w:t>
      </w:r>
      <w:r w:rsidR="00D66035" w:rsidRPr="005C4C86">
        <w:t>Qingdao, P.R. China 27th – 30th June 2017</w:t>
      </w:r>
      <w:r w:rsidR="00D66035">
        <w:t xml:space="preserve"> </w:t>
      </w:r>
    </w:p>
    <w:p w14:paraId="19E92B14" w14:textId="4F1653DE" w:rsidR="00C0563D" w:rsidRPr="00FF23C8" w:rsidRDefault="00C0563D" w:rsidP="00DB7B1D">
      <w:pPr>
        <w:pStyle w:val="Reference"/>
        <w:numPr>
          <w:ilvl w:val="0"/>
          <w:numId w:val="0"/>
        </w:numPr>
        <w:tabs>
          <w:tab w:val="num" w:pos="567"/>
        </w:tabs>
        <w:ind w:left="567"/>
      </w:pPr>
    </w:p>
    <w:sectPr w:rsidR="00C0563D" w:rsidRPr="00FF23C8" w:rsidSect="00D55085"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361D1" w14:textId="77777777" w:rsidR="003141B2" w:rsidRDefault="003141B2">
      <w:r>
        <w:separator/>
      </w:r>
    </w:p>
  </w:endnote>
  <w:endnote w:type="continuationSeparator" w:id="0">
    <w:p w14:paraId="775ABDF9" w14:textId="77777777" w:rsidR="003141B2" w:rsidRDefault="003141B2">
      <w:r>
        <w:continuationSeparator/>
      </w:r>
    </w:p>
  </w:endnote>
  <w:endnote w:type="continuationNotice" w:id="1">
    <w:p w14:paraId="2C288DBA" w14:textId="77777777" w:rsidR="003141B2" w:rsidRDefault="003141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56AFC69A" w:rsidR="004461F9" w:rsidRDefault="004461F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37F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A37F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88B70" w14:textId="77777777" w:rsidR="003141B2" w:rsidRDefault="003141B2">
      <w:r>
        <w:separator/>
      </w:r>
    </w:p>
  </w:footnote>
  <w:footnote w:type="continuationSeparator" w:id="0">
    <w:p w14:paraId="4E8D4C3B" w14:textId="77777777" w:rsidR="003141B2" w:rsidRDefault="003141B2">
      <w:r>
        <w:continuationSeparator/>
      </w:r>
    </w:p>
  </w:footnote>
  <w:footnote w:type="continuationNotice" w:id="1">
    <w:p w14:paraId="5C81E5A5" w14:textId="77777777" w:rsidR="003141B2" w:rsidRDefault="003141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74143"/>
    <w:multiLevelType w:val="hybridMultilevel"/>
    <w:tmpl w:val="BC7C7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D58B3"/>
    <w:multiLevelType w:val="hybridMultilevel"/>
    <w:tmpl w:val="BA90A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1467"/>
        </w:tabs>
        <w:ind w:left="14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8D5FB3"/>
    <w:multiLevelType w:val="hybridMultilevel"/>
    <w:tmpl w:val="63C4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76CCC"/>
    <w:multiLevelType w:val="hybridMultilevel"/>
    <w:tmpl w:val="4008E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6"/>
  </w:num>
  <w:num w:numId="8">
    <w:abstractNumId w:val="7"/>
  </w:num>
  <w:num w:numId="9">
    <w:abstractNumId w:val="21"/>
  </w:num>
  <w:num w:numId="10">
    <w:abstractNumId w:val="4"/>
  </w:num>
  <w:num w:numId="11">
    <w:abstractNumId w:val="2"/>
  </w:num>
  <w:num w:numId="12">
    <w:abstractNumId w:val="12"/>
  </w:num>
  <w:num w:numId="13">
    <w:abstractNumId w:val="18"/>
  </w:num>
  <w:num w:numId="14">
    <w:abstractNumId w:val="3"/>
  </w:num>
  <w:num w:numId="15">
    <w:abstractNumId w:val="0"/>
  </w:num>
  <w:num w:numId="16">
    <w:abstractNumId w:val="20"/>
  </w:num>
  <w:num w:numId="17">
    <w:abstractNumId w:val="8"/>
  </w:num>
  <w:num w:numId="18">
    <w:abstractNumId w:val="5"/>
  </w:num>
  <w:num w:numId="19">
    <w:abstractNumId w:val="17"/>
  </w:num>
  <w:num w:numId="20">
    <w:abstractNumId w:val="19"/>
  </w:num>
  <w:num w:numId="21">
    <w:abstractNumId w:val="1"/>
  </w:num>
  <w:num w:numId="22">
    <w:abstractNumId w:val="15"/>
  </w:num>
  <w:num w:numId="2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1DC"/>
    <w:rsid w:val="00000633"/>
    <w:rsid w:val="000006E1"/>
    <w:rsid w:val="0000168C"/>
    <w:rsid w:val="000020D5"/>
    <w:rsid w:val="00002BC4"/>
    <w:rsid w:val="00002F99"/>
    <w:rsid w:val="0000325C"/>
    <w:rsid w:val="00003E50"/>
    <w:rsid w:val="00003EC3"/>
    <w:rsid w:val="00004A2F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765"/>
    <w:rsid w:val="00015D15"/>
    <w:rsid w:val="0001611C"/>
    <w:rsid w:val="000166AE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5AE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F4D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1B2"/>
    <w:rsid w:val="000A1B7B"/>
    <w:rsid w:val="000A22F2"/>
    <w:rsid w:val="000A2538"/>
    <w:rsid w:val="000A284D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BC2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C9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091D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2A8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59C7"/>
    <w:rsid w:val="0016660C"/>
    <w:rsid w:val="001669BD"/>
    <w:rsid w:val="0016726A"/>
    <w:rsid w:val="00170F18"/>
    <w:rsid w:val="001711A9"/>
    <w:rsid w:val="00171478"/>
    <w:rsid w:val="00171FAE"/>
    <w:rsid w:val="001734F5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28A5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386"/>
    <w:rsid w:val="001C27E1"/>
    <w:rsid w:val="001C3D2A"/>
    <w:rsid w:val="001C3D34"/>
    <w:rsid w:val="001C6312"/>
    <w:rsid w:val="001C664F"/>
    <w:rsid w:val="001C7E80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4934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43A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A7B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B0C"/>
    <w:rsid w:val="00252D99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2C3D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6BA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59B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02D4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204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5E55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07E66"/>
    <w:rsid w:val="00311702"/>
    <w:rsid w:val="00311E82"/>
    <w:rsid w:val="003124BA"/>
    <w:rsid w:val="00312C0A"/>
    <w:rsid w:val="00313FD6"/>
    <w:rsid w:val="003141B2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444"/>
    <w:rsid w:val="00334578"/>
    <w:rsid w:val="00334579"/>
    <w:rsid w:val="00334D0C"/>
    <w:rsid w:val="0033520D"/>
    <w:rsid w:val="00335858"/>
    <w:rsid w:val="00336BDA"/>
    <w:rsid w:val="00337135"/>
    <w:rsid w:val="00337849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3E80"/>
    <w:rsid w:val="003649A8"/>
    <w:rsid w:val="00364BF8"/>
    <w:rsid w:val="00364E62"/>
    <w:rsid w:val="00364F51"/>
    <w:rsid w:val="00365071"/>
    <w:rsid w:val="0036558A"/>
    <w:rsid w:val="003658C0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021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1EED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773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45D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D14"/>
    <w:rsid w:val="003C4FFF"/>
    <w:rsid w:val="003C62E9"/>
    <w:rsid w:val="003C62ED"/>
    <w:rsid w:val="003C6C78"/>
    <w:rsid w:val="003C6D1B"/>
    <w:rsid w:val="003C6E0C"/>
    <w:rsid w:val="003C733E"/>
    <w:rsid w:val="003C7806"/>
    <w:rsid w:val="003D0554"/>
    <w:rsid w:val="003D109F"/>
    <w:rsid w:val="003D145B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176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4E22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1F9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67D8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BFC"/>
    <w:rsid w:val="00480CDC"/>
    <w:rsid w:val="00480E5D"/>
    <w:rsid w:val="00481203"/>
    <w:rsid w:val="00481440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4A79"/>
    <w:rsid w:val="004E53C7"/>
    <w:rsid w:val="004E56DC"/>
    <w:rsid w:val="004E5F91"/>
    <w:rsid w:val="004E6C03"/>
    <w:rsid w:val="004E76F4"/>
    <w:rsid w:val="004E7873"/>
    <w:rsid w:val="004E7B04"/>
    <w:rsid w:val="004E7EB2"/>
    <w:rsid w:val="004F0445"/>
    <w:rsid w:val="004F0B6C"/>
    <w:rsid w:val="004F19EB"/>
    <w:rsid w:val="004F1F01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3D92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2083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18BF"/>
    <w:rsid w:val="00563ABE"/>
    <w:rsid w:val="00563BB8"/>
    <w:rsid w:val="00563D67"/>
    <w:rsid w:val="00564FBF"/>
    <w:rsid w:val="00565DED"/>
    <w:rsid w:val="00566557"/>
    <w:rsid w:val="005666FA"/>
    <w:rsid w:val="00566EC0"/>
    <w:rsid w:val="00566F96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49E9"/>
    <w:rsid w:val="0058578E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1F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2EE8"/>
    <w:rsid w:val="005B35BD"/>
    <w:rsid w:val="005B35D7"/>
    <w:rsid w:val="005B392A"/>
    <w:rsid w:val="005B3AA3"/>
    <w:rsid w:val="005B3B9F"/>
    <w:rsid w:val="005B3C4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C7F73"/>
    <w:rsid w:val="005D030D"/>
    <w:rsid w:val="005D1602"/>
    <w:rsid w:val="005D28DF"/>
    <w:rsid w:val="005D2D53"/>
    <w:rsid w:val="005D32AE"/>
    <w:rsid w:val="005D3508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C7"/>
    <w:rsid w:val="005E33DA"/>
    <w:rsid w:val="005E385F"/>
    <w:rsid w:val="005E4663"/>
    <w:rsid w:val="005E4FCF"/>
    <w:rsid w:val="005E53B7"/>
    <w:rsid w:val="005E5895"/>
    <w:rsid w:val="005E5B81"/>
    <w:rsid w:val="005E6492"/>
    <w:rsid w:val="005F1E53"/>
    <w:rsid w:val="005F2CB1"/>
    <w:rsid w:val="005F2D31"/>
    <w:rsid w:val="005F3E78"/>
    <w:rsid w:val="005F3EE7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0AEB"/>
    <w:rsid w:val="00601F2D"/>
    <w:rsid w:val="006024AB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A2D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87DBC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CB7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1E10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79A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6F60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6774C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298"/>
    <w:rsid w:val="007866D5"/>
    <w:rsid w:val="00786E64"/>
    <w:rsid w:val="00786ECC"/>
    <w:rsid w:val="007872BE"/>
    <w:rsid w:val="00787850"/>
    <w:rsid w:val="00790F15"/>
    <w:rsid w:val="00791A2B"/>
    <w:rsid w:val="007925EA"/>
    <w:rsid w:val="00792975"/>
    <w:rsid w:val="007929C8"/>
    <w:rsid w:val="0079301F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37F2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352"/>
    <w:rsid w:val="007B5C47"/>
    <w:rsid w:val="007B6B74"/>
    <w:rsid w:val="007B75D5"/>
    <w:rsid w:val="007B7875"/>
    <w:rsid w:val="007C0476"/>
    <w:rsid w:val="007C05DD"/>
    <w:rsid w:val="007C07BA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C36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2A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252B"/>
    <w:rsid w:val="00883005"/>
    <w:rsid w:val="008846AC"/>
    <w:rsid w:val="008848F9"/>
    <w:rsid w:val="00886745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27A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D35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C26"/>
    <w:rsid w:val="008E5E7C"/>
    <w:rsid w:val="008E61F0"/>
    <w:rsid w:val="008E6201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D75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2B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A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963"/>
    <w:rsid w:val="00945C05"/>
    <w:rsid w:val="00946815"/>
    <w:rsid w:val="00946945"/>
    <w:rsid w:val="00946A81"/>
    <w:rsid w:val="00947713"/>
    <w:rsid w:val="0094782B"/>
    <w:rsid w:val="00947CC8"/>
    <w:rsid w:val="00947D62"/>
    <w:rsid w:val="0095092C"/>
    <w:rsid w:val="00950DE7"/>
    <w:rsid w:val="00951A64"/>
    <w:rsid w:val="00951EDE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385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099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0E30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2EE0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1728"/>
    <w:rsid w:val="00A021CA"/>
    <w:rsid w:val="00A02D6D"/>
    <w:rsid w:val="00A04232"/>
    <w:rsid w:val="00A04367"/>
    <w:rsid w:val="00A047D2"/>
    <w:rsid w:val="00A048A8"/>
    <w:rsid w:val="00A04968"/>
    <w:rsid w:val="00A04DCB"/>
    <w:rsid w:val="00A052E6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4D28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5746C"/>
    <w:rsid w:val="00A601E5"/>
    <w:rsid w:val="00A60DBF"/>
    <w:rsid w:val="00A6126F"/>
    <w:rsid w:val="00A61499"/>
    <w:rsid w:val="00A62703"/>
    <w:rsid w:val="00A62C1F"/>
    <w:rsid w:val="00A63483"/>
    <w:rsid w:val="00A63753"/>
    <w:rsid w:val="00A647D1"/>
    <w:rsid w:val="00A64DD4"/>
    <w:rsid w:val="00A65943"/>
    <w:rsid w:val="00A660AC"/>
    <w:rsid w:val="00A66720"/>
    <w:rsid w:val="00A670EF"/>
    <w:rsid w:val="00A67A90"/>
    <w:rsid w:val="00A67D49"/>
    <w:rsid w:val="00A67E6C"/>
    <w:rsid w:val="00A714C3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87CD9"/>
    <w:rsid w:val="00A90B89"/>
    <w:rsid w:val="00A91F23"/>
    <w:rsid w:val="00A920C7"/>
    <w:rsid w:val="00A92879"/>
    <w:rsid w:val="00A93D59"/>
    <w:rsid w:val="00A9544C"/>
    <w:rsid w:val="00A956A5"/>
    <w:rsid w:val="00A9594B"/>
    <w:rsid w:val="00A96357"/>
    <w:rsid w:val="00A9683B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1C3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1631"/>
    <w:rsid w:val="00B7285B"/>
    <w:rsid w:val="00B72868"/>
    <w:rsid w:val="00B7331C"/>
    <w:rsid w:val="00B73583"/>
    <w:rsid w:val="00B739F6"/>
    <w:rsid w:val="00B75486"/>
    <w:rsid w:val="00B764D3"/>
    <w:rsid w:val="00B76B45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CE3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3B3D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20F2"/>
    <w:rsid w:val="00BF3279"/>
    <w:rsid w:val="00BF3F37"/>
    <w:rsid w:val="00BF512B"/>
    <w:rsid w:val="00BF51F4"/>
    <w:rsid w:val="00BF6454"/>
    <w:rsid w:val="00BF6EEA"/>
    <w:rsid w:val="00BF74C7"/>
    <w:rsid w:val="00C00CCF"/>
    <w:rsid w:val="00C01375"/>
    <w:rsid w:val="00C014D9"/>
    <w:rsid w:val="00C015F1"/>
    <w:rsid w:val="00C01F33"/>
    <w:rsid w:val="00C0209C"/>
    <w:rsid w:val="00C02309"/>
    <w:rsid w:val="00C02CC6"/>
    <w:rsid w:val="00C0342D"/>
    <w:rsid w:val="00C035C2"/>
    <w:rsid w:val="00C03B03"/>
    <w:rsid w:val="00C040F7"/>
    <w:rsid w:val="00C044AB"/>
    <w:rsid w:val="00C04C9F"/>
    <w:rsid w:val="00C05458"/>
    <w:rsid w:val="00C0563D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4A"/>
    <w:rsid w:val="00C34EA1"/>
    <w:rsid w:val="00C35901"/>
    <w:rsid w:val="00C35A18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1052"/>
    <w:rsid w:val="00C5269D"/>
    <w:rsid w:val="00C52B72"/>
    <w:rsid w:val="00C537C2"/>
    <w:rsid w:val="00C53AD2"/>
    <w:rsid w:val="00C53FA7"/>
    <w:rsid w:val="00C54995"/>
    <w:rsid w:val="00C54D41"/>
    <w:rsid w:val="00C55464"/>
    <w:rsid w:val="00C5548C"/>
    <w:rsid w:val="00C55D80"/>
    <w:rsid w:val="00C55E1C"/>
    <w:rsid w:val="00C56E23"/>
    <w:rsid w:val="00C57E2F"/>
    <w:rsid w:val="00C60783"/>
    <w:rsid w:val="00C61623"/>
    <w:rsid w:val="00C61F29"/>
    <w:rsid w:val="00C62052"/>
    <w:rsid w:val="00C6223E"/>
    <w:rsid w:val="00C62910"/>
    <w:rsid w:val="00C62B74"/>
    <w:rsid w:val="00C6301F"/>
    <w:rsid w:val="00C634E4"/>
    <w:rsid w:val="00C63540"/>
    <w:rsid w:val="00C6360A"/>
    <w:rsid w:val="00C63769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282"/>
    <w:rsid w:val="00C728F3"/>
    <w:rsid w:val="00C72EF4"/>
    <w:rsid w:val="00C73C66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279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A20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0B5"/>
    <w:rsid w:val="00D16579"/>
    <w:rsid w:val="00D16B9D"/>
    <w:rsid w:val="00D20A27"/>
    <w:rsid w:val="00D20C89"/>
    <w:rsid w:val="00D21194"/>
    <w:rsid w:val="00D212E2"/>
    <w:rsid w:val="00D21443"/>
    <w:rsid w:val="00D22FAF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0ADA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1B0A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035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12A0"/>
    <w:rsid w:val="00D823C6"/>
    <w:rsid w:val="00D83480"/>
    <w:rsid w:val="00D83497"/>
    <w:rsid w:val="00D836C2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B7540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C756B"/>
    <w:rsid w:val="00DD017F"/>
    <w:rsid w:val="00DD0316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D7EAC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1555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67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9FC"/>
    <w:rsid w:val="00E47AEF"/>
    <w:rsid w:val="00E50D0A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1C0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3DC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304"/>
    <w:rsid w:val="00E870F5"/>
    <w:rsid w:val="00E8723F"/>
    <w:rsid w:val="00E87822"/>
    <w:rsid w:val="00E87A9B"/>
    <w:rsid w:val="00E87D7F"/>
    <w:rsid w:val="00E900FA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5AA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39D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6BD0"/>
    <w:rsid w:val="00EE7CE1"/>
    <w:rsid w:val="00EF00FF"/>
    <w:rsid w:val="00EF18FE"/>
    <w:rsid w:val="00EF2981"/>
    <w:rsid w:val="00EF2BF4"/>
    <w:rsid w:val="00EF3591"/>
    <w:rsid w:val="00EF3AD5"/>
    <w:rsid w:val="00EF3D20"/>
    <w:rsid w:val="00EF53CD"/>
    <w:rsid w:val="00EF5787"/>
    <w:rsid w:val="00EF5E6B"/>
    <w:rsid w:val="00EF60D0"/>
    <w:rsid w:val="00EF6503"/>
    <w:rsid w:val="00EF7C03"/>
    <w:rsid w:val="00F00459"/>
    <w:rsid w:val="00F00A11"/>
    <w:rsid w:val="00F01A5F"/>
    <w:rsid w:val="00F01AA2"/>
    <w:rsid w:val="00F0404A"/>
    <w:rsid w:val="00F041D8"/>
    <w:rsid w:val="00F047BD"/>
    <w:rsid w:val="00F04954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0CDA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86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97B57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2FC9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DD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174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23C8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443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  <w:tabs>
        <w:tab w:val="clear" w:pos="1467"/>
        <w:tab w:val="num" w:pos="567"/>
      </w:tabs>
      <w:ind w:left="567"/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aptionChar">
    <w:name w:val="Caption Char"/>
    <w:aliases w:val="cap Char1,cap Char Char"/>
    <w:basedOn w:val="DefaultParagraphFont"/>
    <w:link w:val="Caption"/>
    <w:uiPriority w:val="35"/>
    <w:rsid w:val="00BF20F2"/>
    <w:rPr>
      <w:rFonts w:ascii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E346-834B-4948-ACC8-39A66CEFB9CB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7714E2-C4E5-47B5-A63B-79DAC3387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3F4283C-714A-40D4-A960-FF98FD2D2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106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5545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Nayeb Nazar, Shahrokh</cp:lastModifiedBy>
  <cp:revision>13</cp:revision>
  <cp:lastPrinted>2014-08-07T20:35:00Z</cp:lastPrinted>
  <dcterms:created xsi:type="dcterms:W3CDTF">2017-06-15T00:33:00Z</dcterms:created>
  <dcterms:modified xsi:type="dcterms:W3CDTF">2017-06-16T18:18:00Z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